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spacing w:after="160" w:line="264" w:lineRule="auto"/>
        <w:ind w:hanging="1416" w:left="1416"/>
        <w:jc w:val="center"/>
        <w:rPr>
          <w:sz w:val="27"/>
        </w:rPr>
      </w:pPr>
      <w:r>
        <w:rPr>
          <w:sz w:val="27"/>
        </w:rPr>
        <w:t xml:space="preserve">                     </w:t>
      </w:r>
      <w:r>
        <w:rPr>
          <w:sz w:val="27"/>
        </w:rPr>
        <w:t>Приложение №2</w:t>
      </w:r>
    </w:p>
    <w:p w14:paraId="02000000">
      <w:pPr>
        <w:ind/>
        <w:jc w:val="center"/>
        <w:rPr>
          <w:sz w:val="16"/>
        </w:rPr>
      </w:pPr>
    </w:p>
    <w:p w14:paraId="03000000">
      <w:pPr>
        <w:ind/>
        <w:jc w:val="center"/>
        <w:rPr>
          <w:sz w:val="28"/>
        </w:rPr>
      </w:pPr>
      <w:r>
        <w:rPr>
          <w:sz w:val="28"/>
        </w:rPr>
        <w:t xml:space="preserve">Статистика по заявлениям граждан, 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направленным на рассмотрение в структурные подразделения УФНС России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 xml:space="preserve">за период </w:t>
      </w:r>
      <w:r>
        <w:rPr>
          <w:color w:val="000000"/>
          <w:sz w:val="28"/>
        </w:rPr>
        <w:t>01.0</w:t>
      </w:r>
      <w:r>
        <w:rPr>
          <w:color w:val="000000"/>
          <w:sz w:val="28"/>
        </w:rPr>
        <w:t>2.2020</w:t>
      </w:r>
      <w:r>
        <w:rPr>
          <w:color w:val="000000"/>
          <w:sz w:val="28"/>
        </w:rPr>
        <w:t xml:space="preserve"> по 2</w:t>
      </w:r>
      <w:r>
        <w:rPr>
          <w:color w:val="000000"/>
          <w:sz w:val="28"/>
        </w:rPr>
        <w:t>9</w:t>
      </w:r>
      <w:r>
        <w:rPr>
          <w:color w:val="000000"/>
          <w:sz w:val="28"/>
        </w:rPr>
        <w:t>.0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.2020</w:t>
      </w:r>
      <w:r>
        <w:rPr>
          <w:color w:val="000000"/>
          <w:sz w:val="28"/>
        </w:rPr>
        <w:t xml:space="preserve"> года</w:t>
      </w:r>
    </w:p>
    <w:tbl>
      <w:tblPr>
        <w:tblInd w:type="dxa" w:w="0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859"/>
        <w:gridCol w:w="807"/>
        <w:gridCol w:w="1041"/>
        <w:gridCol w:w="742"/>
        <w:gridCol w:w="892"/>
        <w:gridCol w:w="891"/>
        <w:gridCol w:w="892"/>
        <w:gridCol w:w="891"/>
        <w:gridCol w:w="892"/>
        <w:gridCol w:w="891"/>
        <w:gridCol w:w="1189"/>
        <w:gridCol w:w="892"/>
        <w:gridCol w:w="1040"/>
        <w:gridCol w:w="1189"/>
        <w:gridCol w:w="1042"/>
      </w:tblGrid>
      <w:tr>
        <w:trPr>
          <w:trHeight w:hRule="atLeast" w:val="394"/>
        </w:trPr>
        <w:tc>
          <w:tcPr>
            <w:tcW w:type="dxa" w:w="18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  <w:vAlign w:val="center"/>
          </w:tcPr>
          <w:p w14:paraId="06000000">
            <w:pPr>
              <w:ind w:firstLine="0" w:left="113" w:right="11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Наименование территориального налогового органа</w:t>
            </w:r>
          </w:p>
          <w:p w14:paraId="07000000">
            <w:pPr>
              <w:ind w:firstLine="0" w:left="113" w:right="11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из которого поступило обращение</w:t>
            </w:r>
          </w:p>
        </w:tc>
        <w:tc>
          <w:tcPr>
            <w:tcW w:type="dxa" w:w="13291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обращений</w:t>
            </w:r>
          </w:p>
        </w:tc>
      </w:tr>
      <w:tr>
        <w:trPr>
          <w:trHeight w:hRule="atLeast" w:val="398"/>
        </w:trPr>
        <w:tc>
          <w:tcPr>
            <w:tcW w:type="dxa" w:w="18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  <w:vAlign w:val="center"/>
          </w:tcPr>
          <w:p/>
        </w:tc>
        <w:tc>
          <w:tcPr>
            <w:tcW w:type="dxa" w:w="80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  <w:vAlign w:val="center"/>
          </w:tcPr>
          <w:p w14:paraId="09000000">
            <w:pPr>
              <w:ind w:firstLine="0"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12484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 том числе по тематике вопроса </w:t>
            </w: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 xml:space="preserve">соответствии с </w:t>
            </w:r>
            <w:r>
              <w:rPr>
                <w:color w:val="000000"/>
                <w:sz w:val="20"/>
              </w:rPr>
              <w:t>тематическим классификатором обращений</w:t>
            </w:r>
          </w:p>
        </w:tc>
      </w:tr>
      <w:tr>
        <w:trPr>
          <w:trHeight w:hRule="atLeast" w:val="2767"/>
        </w:trPr>
        <w:tc>
          <w:tcPr>
            <w:tcW w:type="dxa" w:w="18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  <w:vAlign w:val="center"/>
          </w:tcPr>
          <w:p/>
        </w:tc>
        <w:tc>
          <w:tcPr>
            <w:tcW w:type="dxa" w:w="80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  <w:vAlign w:val="center"/>
          </w:tcPr>
          <w:p/>
        </w:tc>
        <w:tc>
          <w:tcPr>
            <w:tcW w:type="dxa" w:w="1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  <w:vAlign w:val="center"/>
          </w:tcPr>
          <w:p w14:paraId="0B000000">
            <w:pPr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0003.0008.0086.0542</w:t>
            </w:r>
          </w:p>
          <w:p w14:paraId="0C000000">
            <w:pPr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Обжалование решений государственных органов и должностных лиц</w:t>
            </w:r>
          </w:p>
        </w:tc>
        <w:tc>
          <w:tcPr>
            <w:tcW w:type="dxa" w:w="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  <w:vAlign w:val="center"/>
          </w:tcPr>
          <w:p w14:paraId="0D000000">
            <w:pPr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0003.0008.0086.0760 </w:t>
            </w:r>
          </w:p>
          <w:p w14:paraId="0E000000">
            <w:pPr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Земельный налог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  <w:vAlign w:val="center"/>
          </w:tcPr>
          <w:p w14:paraId="0F000000">
            <w:pPr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0003.0008.0086.0763 Транспортный налог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  <w:vAlign w:val="center"/>
          </w:tcPr>
          <w:p w14:paraId="10000000">
            <w:pPr>
              <w:ind w:firstLine="0"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0003.0008.0086.0764 </w:t>
            </w:r>
          </w:p>
          <w:p w14:paraId="11000000">
            <w:pPr>
              <w:ind w:firstLine="0" w:left="113" w:right="113"/>
              <w:jc w:val="center"/>
              <w:rPr>
                <w:color w:val="000000"/>
                <w:sz w:val="20"/>
              </w:rPr>
            </w:pPr>
            <w:r>
              <w:rPr>
                <w:sz w:val="18"/>
              </w:rPr>
              <w:t>Налог на имущество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  <w:vAlign w:val="center"/>
          </w:tcPr>
          <w:p w14:paraId="12000000">
            <w:pPr>
              <w:ind w:firstLine="0"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0003.0008.0086.0765</w:t>
            </w:r>
          </w:p>
          <w:p w14:paraId="13000000">
            <w:pPr>
              <w:ind w:firstLine="0"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18"/>
              </w:rPr>
              <w:t>Налог на доходы физических лиц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  <w:vAlign w:val="center"/>
          </w:tcPr>
          <w:p w14:paraId="14000000">
            <w:pPr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0003.0008.0086.0768 Налогообложение малого бизнеса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  <w:vAlign w:val="center"/>
          </w:tcPr>
          <w:p w14:paraId="15000000">
            <w:pPr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0003.0008.0086.0769 Задолженность по налогам и сборам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  <w:vAlign w:val="center"/>
          </w:tcPr>
          <w:p w14:paraId="16000000">
            <w:pPr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0003.0008.0086.0770 Уклонение от налогообложения</w:t>
            </w:r>
          </w:p>
        </w:tc>
        <w:tc>
          <w:tcPr>
            <w:tcW w:type="dxa" w:w="1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  <w:vAlign w:val="center"/>
          </w:tcPr>
          <w:p w14:paraId="17000000">
            <w:pPr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0003.0008.0086.0775 Зачет и возврат излишне уплаченных или взысканных сумм налогов, сборов, пеней, штрафов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  <w:vAlign w:val="center"/>
          </w:tcPr>
          <w:p w14:paraId="18000000">
            <w:pPr>
              <w:ind w:firstLine="0"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18"/>
              </w:rPr>
              <w:t>0003.0008.0086.0777 Организация работы с налогоплательщиками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  <w:vAlign w:val="center"/>
          </w:tcPr>
          <w:p w14:paraId="19000000">
            <w:pPr>
              <w:ind w:firstLine="0"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18"/>
              </w:rPr>
              <w:t>0003.0008.0086.1471 Государственная регистрация юридических лиц</w:t>
            </w:r>
          </w:p>
        </w:tc>
        <w:tc>
          <w:tcPr>
            <w:tcW w:type="dxa" w:w="1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1A000000">
            <w:pPr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type="dxa" w:w="1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1B000000">
            <w:pPr>
              <w:ind w:firstLine="0"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По другим вопросам</w:t>
            </w:r>
          </w:p>
        </w:tc>
      </w:tr>
      <w:tr>
        <w:trPr>
          <w:trHeight w:hRule="atLeast" w:val="618"/>
        </w:trPr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 xml:space="preserve"> -- 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type="dxa" w:w="1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1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1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1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(100.00%)</w:t>
            </w:r>
          </w:p>
        </w:tc>
      </w:tr>
      <w:tr>
        <w:trPr>
          <w:trHeight w:hRule="atLeast" w:val="618"/>
        </w:trPr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13 Республика Мордовия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type="dxa" w:w="1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(100.00%)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1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1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1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</w:tr>
      <w:tr>
        <w:trPr>
          <w:trHeight w:hRule="atLeast" w:val="618"/>
        </w:trPr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16 Республика Татарстан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type="dxa" w:w="1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(25.00%)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(25.00%)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(25.00%)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(25.00%)</w:t>
            </w:r>
          </w:p>
        </w:tc>
        <w:tc>
          <w:tcPr>
            <w:tcW w:type="dxa" w:w="1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1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1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</w:tr>
      <w:tr>
        <w:trPr>
          <w:trHeight w:hRule="atLeast" w:val="618"/>
        </w:trPr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23 Краснодарский край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type="dxa" w:w="1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1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(100.00%)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1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1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</w:tr>
      <w:tr>
        <w:trPr>
          <w:trHeight w:hRule="atLeast" w:val="618"/>
        </w:trPr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47 Ленинградская область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type="dxa" w:w="1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(100.00%)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1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1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1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</w:tr>
      <w:tr>
        <w:trPr>
          <w:trHeight w:hRule="atLeast" w:val="618"/>
        </w:trPr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50 Московская область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type="dxa" w:w="1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 (50.00%)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(25.00%)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1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(25.00%)</w:t>
            </w:r>
          </w:p>
        </w:tc>
        <w:tc>
          <w:tcPr>
            <w:tcW w:type="dxa" w:w="1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1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</w:tr>
      <w:tr>
        <w:trPr>
          <w:trHeight w:hRule="atLeast" w:val="618"/>
        </w:trPr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54 Новосибирская область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type="dxa" w:w="1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(100.00%)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1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1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1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</w:tr>
      <w:tr>
        <w:trPr>
          <w:trHeight w:hRule="atLeast" w:val="618"/>
        </w:trPr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63 Самарская область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418</w:t>
            </w:r>
          </w:p>
        </w:tc>
        <w:tc>
          <w:tcPr>
            <w:tcW w:type="dxa" w:w="1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27 (6.46%)</w:t>
            </w:r>
          </w:p>
        </w:tc>
        <w:tc>
          <w:tcPr>
            <w:tcW w:type="dxa" w:w="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 (3.11%)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 (3.35%)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58 (13.88%)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45 (10.77%)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23 (5.50%)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67 (16.03%)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35 (8.37%)</w:t>
            </w:r>
          </w:p>
        </w:tc>
        <w:tc>
          <w:tcPr>
            <w:tcW w:type="dxa" w:w="1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 (3.59%)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 (1.67%)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 (3.59%)</w:t>
            </w:r>
          </w:p>
        </w:tc>
        <w:tc>
          <w:tcPr>
            <w:tcW w:type="dxa" w:w="1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 (0.72%)</w:t>
            </w:r>
          </w:p>
        </w:tc>
        <w:tc>
          <w:tcPr>
            <w:tcW w:type="dxa" w:w="1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96 (22.97%)</w:t>
            </w:r>
          </w:p>
        </w:tc>
      </w:tr>
      <w:tr>
        <w:trPr>
          <w:trHeight w:hRule="atLeast" w:val="618"/>
        </w:trPr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66 Свердловская область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type="dxa" w:w="1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(50.00%)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(50.00%)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1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1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1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</w:tr>
      <w:tr>
        <w:trPr>
          <w:trHeight w:hRule="atLeast" w:val="618"/>
        </w:trPr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73 Ульяновская область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type="dxa" w:w="1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(100.00%)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1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D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1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1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</w:tr>
      <w:tr>
        <w:trPr>
          <w:trHeight w:hRule="atLeast" w:val="618"/>
        </w:trPr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76 Ярославская область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type="dxa" w:w="1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5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(50.00%)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9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(50.00%)</w:t>
            </w:r>
          </w:p>
        </w:tc>
        <w:tc>
          <w:tcPr>
            <w:tcW w:type="dxa" w:w="1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D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1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1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</w:tr>
      <w:tr>
        <w:trPr>
          <w:trHeight w:hRule="atLeast" w:val="618"/>
        </w:trPr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77 г. Москва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type="dxa" w:w="1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3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1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D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1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(0.00%)</w:t>
            </w:r>
          </w:p>
        </w:tc>
        <w:tc>
          <w:tcPr>
            <w:tcW w:type="dxa" w:w="1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(100.00%)</w:t>
            </w:r>
          </w:p>
        </w:tc>
      </w:tr>
      <w:tr>
        <w:trPr>
          <w:trHeight w:hRule="atLeast" w:val="618"/>
        </w:trPr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ИТОГО: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437</w:t>
            </w:r>
          </w:p>
        </w:tc>
        <w:tc>
          <w:tcPr>
            <w:tcW w:type="dxa" w:w="1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27</w:t>
            </w:r>
          </w:p>
        </w:tc>
        <w:tc>
          <w:tcPr>
            <w:tcW w:type="dxa" w:w="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17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62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48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23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68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37</w:t>
            </w:r>
          </w:p>
        </w:tc>
        <w:tc>
          <w:tcPr>
            <w:tcW w:type="dxa" w:w="1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</w:t>
            </w:r>
          </w:p>
        </w:tc>
        <w:tc>
          <w:tcPr>
            <w:tcW w:type="dxa" w:w="1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D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type="dxa" w:w="1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E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98</w:t>
            </w:r>
          </w:p>
        </w:tc>
      </w:tr>
    </w:tbl>
    <w:p w14:paraId="DF000000">
      <w:pPr>
        <w:pStyle w:val="Style_1"/>
        <w:ind w:right="0"/>
      </w:pPr>
    </w:p>
    <w:sectPr>
      <w:pgSz w:h="11908" w:w="16848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20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